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D2" w:rsidRDefault="004050D2" w:rsidP="00405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D2">
        <w:rPr>
          <w:rFonts w:ascii="Times New Roman" w:hAnsi="Times New Roman" w:cs="Times New Roman"/>
          <w:sz w:val="28"/>
          <w:szCs w:val="28"/>
        </w:rPr>
        <w:t xml:space="preserve">Правительство Российской Федерации совместно с Корпорацией МСП запустило новую кредитную линию для субъектов малого и среднего предпринимательства благодаря совмещению двух профильных программ поддержки, которые ведут Правительство России, Банк России и Корпорация МСП. Общий объем программы до конца 2022 года составит 50 млрд. рублей. В перечень банков, в которых предприниматели могут получить льготный инвестиционный кредит, вошли 47 банков (Приложение 1). </w:t>
      </w:r>
    </w:p>
    <w:p w:rsidR="004050D2" w:rsidRDefault="004050D2" w:rsidP="00405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D2">
        <w:rPr>
          <w:rFonts w:ascii="Times New Roman" w:hAnsi="Times New Roman" w:cs="Times New Roman"/>
          <w:sz w:val="28"/>
          <w:szCs w:val="28"/>
        </w:rPr>
        <w:t xml:space="preserve">Инвестиционные кредиты от 50 млн. рублей до 1 млрд. рублей субъекты МСП могут получить на срок до 10 лет. В течение первых 3 лет льготного периода ставка по кредиту для среднего бизнеса составит 3%, для малого и </w:t>
      </w:r>
      <w:proofErr w:type="spellStart"/>
      <w:r w:rsidRPr="004050D2">
        <w:rPr>
          <w:rFonts w:ascii="Times New Roman" w:hAnsi="Times New Roman" w:cs="Times New Roman"/>
          <w:sz w:val="28"/>
          <w:szCs w:val="28"/>
        </w:rPr>
        <w:t>микробизнеса</w:t>
      </w:r>
      <w:proofErr w:type="spellEnd"/>
      <w:r w:rsidRPr="004050D2">
        <w:rPr>
          <w:rFonts w:ascii="Times New Roman" w:hAnsi="Times New Roman" w:cs="Times New Roman"/>
          <w:sz w:val="28"/>
          <w:szCs w:val="28"/>
        </w:rPr>
        <w:t xml:space="preserve"> - 4,5%. Следующие 2 года ставка по кредиту будет рассчитываться по формуле «ключевая ставка на дату подписания договора плюс не более чем 2,75 %». Средства, полученные по льготной ставке, предприниматели могут направить на закупку оборудования, капитальный ремонт производственных помещений или запуск новых производств. </w:t>
      </w:r>
    </w:p>
    <w:p w:rsidR="00733274" w:rsidRPr="004050D2" w:rsidRDefault="004050D2" w:rsidP="004050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D2">
        <w:rPr>
          <w:rFonts w:ascii="Times New Roman" w:hAnsi="Times New Roman" w:cs="Times New Roman"/>
          <w:sz w:val="28"/>
          <w:szCs w:val="28"/>
        </w:rPr>
        <w:t>Льготные кредиты в рамках пилотного проекта могут получить малые и средние предприятия, работающие в сфере обрабатывающего производства, гостиничного бизнеса, а также транспортировки и хранения в части создания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50D2">
        <w:rPr>
          <w:rFonts w:ascii="Times New Roman" w:hAnsi="Times New Roman" w:cs="Times New Roman"/>
          <w:sz w:val="28"/>
          <w:szCs w:val="28"/>
        </w:rPr>
        <w:t xml:space="preserve">складских комплексов. Полный перечень пилотных кодов ОКВЭД </w:t>
      </w:r>
      <w:bookmarkStart w:id="0" w:name="_GoBack"/>
      <w:bookmarkEnd w:id="0"/>
      <w:r w:rsidRPr="004050D2">
        <w:rPr>
          <w:rFonts w:ascii="Times New Roman" w:hAnsi="Times New Roman" w:cs="Times New Roman"/>
          <w:sz w:val="28"/>
          <w:szCs w:val="28"/>
        </w:rPr>
        <w:t>(Приложение 2).</w:t>
      </w:r>
    </w:p>
    <w:sectPr w:rsidR="00733274" w:rsidRPr="004050D2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180ED4"/>
    <w:rsid w:val="004050D2"/>
    <w:rsid w:val="005C3E09"/>
    <w:rsid w:val="006F79AF"/>
    <w:rsid w:val="00733274"/>
    <w:rsid w:val="00A66D9C"/>
    <w:rsid w:val="00E9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2022-02-25T10:18:00Z</dcterms:created>
  <dcterms:modified xsi:type="dcterms:W3CDTF">2022-09-02T07:16:00Z</dcterms:modified>
</cp:coreProperties>
</file>