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465" w:rsidRDefault="00065465" w:rsidP="00065465">
      <w:pPr>
        <w:spacing w:after="0" w:line="240" w:lineRule="auto"/>
        <w:jc w:val="center"/>
        <w:rPr>
          <w:rFonts w:ascii="Segoe UI" w:eastAsia="Times New Roman" w:hAnsi="Segoe UI" w:cs="Segoe UI"/>
          <w:b/>
          <w:bCs/>
          <w:sz w:val="28"/>
          <w:szCs w:val="28"/>
          <w:lang w:eastAsia="ru-RU"/>
        </w:rPr>
      </w:pPr>
      <w:r>
        <w:rPr>
          <w:rFonts w:ascii="Segoe UI" w:eastAsia="Times New Roman" w:hAnsi="Segoe UI" w:cs="Segoe UI"/>
          <w:b/>
          <w:bCs/>
          <w:sz w:val="28"/>
          <w:szCs w:val="28"/>
          <w:lang w:eastAsia="ru-RU"/>
        </w:rPr>
        <w:t xml:space="preserve">Управление Росреестра по Республике Мордовия разъясняет о </w:t>
      </w:r>
      <w:r w:rsidRPr="00065465">
        <w:rPr>
          <w:rFonts w:ascii="Segoe UI" w:eastAsia="Times New Roman" w:hAnsi="Segoe UI" w:cs="Segoe UI"/>
          <w:b/>
          <w:bCs/>
          <w:sz w:val="28"/>
          <w:szCs w:val="28"/>
          <w:lang w:eastAsia="ru-RU"/>
        </w:rPr>
        <w:t>гаражной амнистии</w:t>
      </w:r>
    </w:p>
    <w:p w:rsidR="00065465" w:rsidRPr="00065465" w:rsidRDefault="00065465" w:rsidP="00065465">
      <w:pPr>
        <w:spacing w:after="0" w:line="240" w:lineRule="auto"/>
        <w:jc w:val="center"/>
        <w:rPr>
          <w:rFonts w:ascii="Segoe UI" w:eastAsia="Times New Roman" w:hAnsi="Segoe UI" w:cs="Segoe UI"/>
          <w:b/>
          <w:bCs/>
          <w:sz w:val="28"/>
          <w:szCs w:val="28"/>
          <w:lang w:eastAsia="ru-RU"/>
        </w:rPr>
      </w:pPr>
      <w:bookmarkStart w:id="0" w:name="_GoBack"/>
      <w:bookmarkEnd w:id="0"/>
    </w:p>
    <w:p w:rsidR="00E92084" w:rsidRPr="00065465" w:rsidRDefault="00E92084" w:rsidP="00065465">
      <w:pPr>
        <w:spacing w:after="0" w:line="240" w:lineRule="auto"/>
        <w:jc w:val="both"/>
        <w:rPr>
          <w:rFonts w:ascii="Segoe UI" w:eastAsia="Times New Roman" w:hAnsi="Segoe UI" w:cs="Segoe UI"/>
          <w:b/>
          <w:bCs/>
          <w:sz w:val="24"/>
          <w:szCs w:val="24"/>
          <w:lang w:eastAsia="ru-RU"/>
        </w:rPr>
      </w:pPr>
      <w:r w:rsidRPr="00065465">
        <w:rPr>
          <w:rFonts w:ascii="Segoe UI" w:eastAsia="Times New Roman" w:hAnsi="Segoe UI" w:cs="Segoe UI"/>
          <w:b/>
          <w:bCs/>
          <w:sz w:val="24"/>
          <w:szCs w:val="24"/>
          <w:lang w:eastAsia="ru-RU"/>
        </w:rPr>
        <w:t>Что такое "гаражная амнистия" и как она будет работать?</w:t>
      </w:r>
    </w:p>
    <w:p w:rsidR="00E92084" w:rsidRPr="00065465" w:rsidRDefault="00E92084"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"Гаражной амнистией" называется пакет поправок в Земельный кодекс РФ, Градостроительный кодекс РФ и ряд других законов. Благодаря этим поправкам у владельцев неоформленных "советских" гаражей появится возможность официально оформить право собственности на них. Так же, как и "дачная амнистия", эта возможность будет ограничена во времени – сейчас планируется, что действие "гаражной амнистии" закончится 1 января 2026 года.</w:t>
      </w:r>
    </w:p>
    <w:p w:rsidR="00A9761B" w:rsidRPr="00065465" w:rsidRDefault="00A9761B" w:rsidP="00065465">
      <w:pPr>
        <w:spacing w:after="0" w:line="240" w:lineRule="auto"/>
        <w:jc w:val="both"/>
        <w:rPr>
          <w:rFonts w:ascii="Segoe UI" w:eastAsia="Times New Roman" w:hAnsi="Segoe UI" w:cs="Segoe UI"/>
          <w:b/>
          <w:bCs/>
          <w:sz w:val="24"/>
          <w:szCs w:val="24"/>
          <w:lang w:eastAsia="ru-RU"/>
        </w:rPr>
      </w:pPr>
      <w:r w:rsidRPr="00065465">
        <w:rPr>
          <w:rFonts w:ascii="Segoe UI" w:eastAsia="Times New Roman" w:hAnsi="Segoe UI" w:cs="Segoe UI"/>
          <w:b/>
          <w:bCs/>
          <w:sz w:val="24"/>
          <w:szCs w:val="24"/>
          <w:lang w:eastAsia="ru-RU"/>
        </w:rPr>
        <w:t>На какие гаражи распространяется гаражная амнистия?</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Чтобы зарегистрировать право собственности на гараж по "гаражной амнистии", он должен отвечать сразу нескольким условиям:</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быть капитальным строением;</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быть построенным до принятия Градостроительного кодекса РФ, то есть до 30 декабря 2004 года;</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у владельца должны быть хоть какие-то, даже косвенные, доказательства, что у него есть право на этот гараж.</w:t>
      </w:r>
    </w:p>
    <w:p w:rsidR="00A9761B" w:rsidRPr="00065465" w:rsidRDefault="00A9761B" w:rsidP="00065465">
      <w:pPr>
        <w:spacing w:after="0" w:line="240" w:lineRule="auto"/>
        <w:jc w:val="both"/>
        <w:rPr>
          <w:rFonts w:ascii="Segoe UI" w:eastAsia="Times New Roman" w:hAnsi="Segoe UI" w:cs="Segoe UI"/>
          <w:b/>
          <w:bCs/>
          <w:sz w:val="24"/>
          <w:szCs w:val="24"/>
          <w:lang w:eastAsia="ru-RU"/>
        </w:rPr>
      </w:pPr>
      <w:r w:rsidRPr="00065465">
        <w:rPr>
          <w:rFonts w:ascii="Segoe UI" w:eastAsia="Times New Roman" w:hAnsi="Segoe UI" w:cs="Segoe UI"/>
          <w:b/>
          <w:bCs/>
          <w:sz w:val="24"/>
          <w:szCs w:val="24"/>
          <w:lang w:eastAsia="ru-RU"/>
        </w:rPr>
        <w:t>Какие документы нужны для регистрации гаража по амнистии?</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Если коротко, то практически любые, лишь бы они прямо или косвенно подтверждали, что у человека давным-давно (то есть до 30 декабря 2004 года) действительно возникло право на его гараж. К таким документам относятся:</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документ, подтверждающий, что земельный участок для размещения гаража был предоставлен гражданину или передан ему какой-либо организацией (в том числе с которой этот гражданин состоял в трудовых или иных отношениях) либо иным образом выделен ему, либо право на использование такого земельного участка возникло у гражданина по иным основаниям;</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xml:space="preserve">- документ, подтверждающий, что участок образован из земельного участка, предоставленного или выделенного иным способом гаражному кооперативу либо иной организации, при которой был организован гаражный кооператив, для размещения гаражей, либо право на использование такого земельного </w:t>
      </w:r>
      <w:r w:rsidRPr="00065465">
        <w:rPr>
          <w:rFonts w:ascii="Segoe UI" w:eastAsia="Times New Roman" w:hAnsi="Segoe UI" w:cs="Segoe UI"/>
          <w:color w:val="000000"/>
          <w:sz w:val="24"/>
          <w:szCs w:val="24"/>
          <w:lang w:eastAsia="ru-RU"/>
        </w:rPr>
        <w:lastRenderedPageBreak/>
        <w:t>участка возникло у таких кооператива либо организации по иным основаниям, и гараж и (или) земельный участок, на котором он расположен, распределены соответствующему гражданину на основании решения общего собрания членов гаражного кооператива либо иного документа, устанавливающего такое распределение.</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Указанные документы можно назвать основными, однако, если их нет, то "гаражная амнистия" предлагает перечень других бумаг, которые могут стать доказательством права человека на гараж. К ним относятся:</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договор о подключении (технологическом присоединении) гаража к сетям инженерно-технического обеспечения и (или) договор о предоставлении коммунальных услуг в связи с использованием гаража, и (или) документы, подтверждающие исполнение со стороны гражданина обязательств по оплате коммунальных услуг;</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документ, подтверждающий проведение государственного технического учета и (или) технической инвентаризации гаража до 1 января 2013 года;</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документ, подтверждающий предоставление или иное выделение земельного участка, из которого образован или должен быть образован испрашиваемый земельный участок, гаражному кооперативу либо иной организации, при которой был организован гаражный кооператив, для гаражного строительства и (или) размещения гаражей; документ, подтверждающий приобретение указанными кооперативом либо организацией права на использование такого земельного участка по иным основаниям;</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решение общего собрания членов гаражного кооператива о распределении гражданину гаража и (или) указанного земельного участка либо иной документ, устанавливающий такое распределение, и (или) документ, выданный гаражным кооперативом, подтверждающий выплату таким гражданином пая (паевого взноса), в том числе без указания на то, что выплата такого пая (паевого взноса) является полной, и (или) подтверждающий факт осуществления строительства гаража данным кооперативом или указанным гражданином;</w:t>
      </w:r>
    </w:p>
    <w:p w:rsidR="00A9761B" w:rsidRPr="00065465"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t>- схема расположения земельного участка (в случае, если испрашиваемый земельный участок предстоит образовать и отсутствует проект межевания территории, в границах которой предстоит образовать такой земельный участок);</w:t>
      </w:r>
    </w:p>
    <w:p w:rsidR="00A9761B" w:rsidRDefault="00A9761B" w:rsidP="00065465">
      <w:pPr>
        <w:spacing w:after="0" w:line="240" w:lineRule="auto"/>
        <w:jc w:val="both"/>
        <w:rPr>
          <w:rFonts w:ascii="Segoe UI" w:eastAsia="Times New Roman" w:hAnsi="Segoe UI" w:cs="Segoe UI"/>
          <w:color w:val="000000"/>
          <w:sz w:val="24"/>
          <w:szCs w:val="24"/>
          <w:lang w:eastAsia="ru-RU"/>
        </w:rPr>
      </w:pPr>
      <w:r w:rsidRPr="00065465">
        <w:rPr>
          <w:rFonts w:ascii="Segoe UI" w:eastAsia="Times New Roman" w:hAnsi="Segoe UI" w:cs="Segoe UI"/>
          <w:color w:val="000000"/>
          <w:sz w:val="24"/>
          <w:szCs w:val="24"/>
          <w:lang w:eastAsia="ru-RU"/>
        </w:rPr>
        <w:lastRenderedPageBreak/>
        <w:t>- выписка из единого государственного реестра юридических лиц о гаражном кооперативе, членом которого является заявитель.</w:t>
      </w:r>
    </w:p>
    <w:p w:rsidR="00065465" w:rsidRDefault="00065465" w:rsidP="00065465">
      <w:pPr>
        <w:spacing w:after="0" w:line="240" w:lineRule="auto"/>
        <w:jc w:val="both"/>
        <w:rPr>
          <w:rFonts w:ascii="Segoe UI" w:eastAsia="Times New Roman" w:hAnsi="Segoe UI" w:cs="Segoe UI"/>
          <w:color w:val="000000"/>
          <w:sz w:val="24"/>
          <w:szCs w:val="24"/>
          <w:lang w:eastAsia="ru-RU"/>
        </w:rPr>
      </w:pPr>
    </w:p>
    <w:p w:rsidR="00065465" w:rsidRPr="00065465" w:rsidRDefault="00065465" w:rsidP="00065465">
      <w:pPr>
        <w:spacing w:after="0" w:line="240" w:lineRule="auto"/>
        <w:jc w:val="right"/>
        <w:rPr>
          <w:rFonts w:ascii="Segoe UI" w:eastAsia="Times New Roman" w:hAnsi="Segoe UI" w:cs="Segoe UI"/>
          <w:color w:val="000000"/>
          <w:sz w:val="24"/>
          <w:szCs w:val="24"/>
          <w:lang w:eastAsia="ru-RU"/>
        </w:rPr>
      </w:pPr>
      <w:r>
        <w:rPr>
          <w:rFonts w:ascii="Segoe UI" w:eastAsia="Times New Roman" w:hAnsi="Segoe UI" w:cs="Segoe UI"/>
          <w:color w:val="000000"/>
          <w:sz w:val="24"/>
          <w:szCs w:val="24"/>
          <w:lang w:eastAsia="ru-RU"/>
        </w:rPr>
        <w:t>Начальник отдела государственного земельного надзора, геодезии и картографии Виталий Бурмистров</w:t>
      </w:r>
    </w:p>
    <w:p w:rsidR="00807122" w:rsidRPr="00065465" w:rsidRDefault="00807122" w:rsidP="00065465">
      <w:pPr>
        <w:spacing w:after="0" w:line="240" w:lineRule="auto"/>
        <w:jc w:val="right"/>
        <w:rPr>
          <w:rFonts w:ascii="Segoe UI" w:hAnsi="Segoe UI" w:cs="Segoe UI"/>
          <w:sz w:val="24"/>
          <w:szCs w:val="24"/>
        </w:rPr>
      </w:pPr>
    </w:p>
    <w:sectPr w:rsidR="00807122" w:rsidRPr="0006546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61B"/>
    <w:rsid w:val="00065465"/>
    <w:rsid w:val="00807122"/>
    <w:rsid w:val="00A9761B"/>
    <w:rsid w:val="00E920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D8612"/>
  <w15:chartTrackingRefBased/>
  <w15:docId w15:val="{5ADEB58C-D863-47DB-8583-ECB452D04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269912">
      <w:bodyDiv w:val="1"/>
      <w:marLeft w:val="0"/>
      <w:marRight w:val="0"/>
      <w:marTop w:val="0"/>
      <w:marBottom w:val="0"/>
      <w:divBdr>
        <w:top w:val="none" w:sz="0" w:space="0" w:color="auto"/>
        <w:left w:val="none" w:sz="0" w:space="0" w:color="auto"/>
        <w:bottom w:val="none" w:sz="0" w:space="0" w:color="auto"/>
        <w:right w:val="none" w:sz="0" w:space="0" w:color="auto"/>
      </w:divBdr>
      <w:divsChild>
        <w:div w:id="1372880050">
          <w:marLeft w:val="0"/>
          <w:marRight w:val="0"/>
          <w:marTop w:val="0"/>
          <w:marBottom w:val="150"/>
          <w:divBdr>
            <w:top w:val="none" w:sz="0" w:space="0" w:color="auto"/>
            <w:left w:val="none" w:sz="0" w:space="0" w:color="auto"/>
            <w:bottom w:val="none" w:sz="0" w:space="0" w:color="auto"/>
            <w:right w:val="none" w:sz="0" w:space="0" w:color="auto"/>
          </w:divBdr>
        </w:div>
        <w:div w:id="1437168438">
          <w:marLeft w:val="0"/>
          <w:marRight w:val="0"/>
          <w:marTop w:val="0"/>
          <w:marBottom w:val="0"/>
          <w:divBdr>
            <w:top w:val="none" w:sz="0" w:space="0" w:color="auto"/>
            <w:left w:val="none" w:sz="0" w:space="0" w:color="auto"/>
            <w:bottom w:val="none" w:sz="0" w:space="0" w:color="auto"/>
            <w:right w:val="none" w:sz="0" w:space="0" w:color="auto"/>
          </w:divBdr>
          <w:divsChild>
            <w:div w:id="165343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6105007">
      <w:bodyDiv w:val="1"/>
      <w:marLeft w:val="0"/>
      <w:marRight w:val="0"/>
      <w:marTop w:val="0"/>
      <w:marBottom w:val="0"/>
      <w:divBdr>
        <w:top w:val="none" w:sz="0" w:space="0" w:color="auto"/>
        <w:left w:val="none" w:sz="0" w:space="0" w:color="auto"/>
        <w:bottom w:val="none" w:sz="0" w:space="0" w:color="auto"/>
        <w:right w:val="none" w:sz="0" w:space="0" w:color="auto"/>
      </w:divBdr>
      <w:divsChild>
        <w:div w:id="1969973123">
          <w:marLeft w:val="0"/>
          <w:marRight w:val="0"/>
          <w:marTop w:val="0"/>
          <w:marBottom w:val="150"/>
          <w:divBdr>
            <w:top w:val="none" w:sz="0" w:space="0" w:color="auto"/>
            <w:left w:val="none" w:sz="0" w:space="0" w:color="auto"/>
            <w:bottom w:val="none" w:sz="0" w:space="0" w:color="auto"/>
            <w:right w:val="none" w:sz="0" w:space="0" w:color="auto"/>
          </w:divBdr>
        </w:div>
        <w:div w:id="2119595911">
          <w:marLeft w:val="0"/>
          <w:marRight w:val="0"/>
          <w:marTop w:val="0"/>
          <w:marBottom w:val="0"/>
          <w:divBdr>
            <w:top w:val="none" w:sz="0" w:space="0" w:color="auto"/>
            <w:left w:val="none" w:sz="0" w:space="0" w:color="auto"/>
            <w:bottom w:val="none" w:sz="0" w:space="0" w:color="auto"/>
            <w:right w:val="none" w:sz="0" w:space="0" w:color="auto"/>
          </w:divBdr>
          <w:divsChild>
            <w:div w:id="90171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549303">
      <w:bodyDiv w:val="1"/>
      <w:marLeft w:val="0"/>
      <w:marRight w:val="0"/>
      <w:marTop w:val="0"/>
      <w:marBottom w:val="0"/>
      <w:divBdr>
        <w:top w:val="none" w:sz="0" w:space="0" w:color="auto"/>
        <w:left w:val="none" w:sz="0" w:space="0" w:color="auto"/>
        <w:bottom w:val="none" w:sz="0" w:space="0" w:color="auto"/>
        <w:right w:val="none" w:sz="0" w:space="0" w:color="auto"/>
      </w:divBdr>
      <w:divsChild>
        <w:div w:id="1509174280">
          <w:marLeft w:val="0"/>
          <w:marRight w:val="0"/>
          <w:marTop w:val="0"/>
          <w:marBottom w:val="150"/>
          <w:divBdr>
            <w:top w:val="none" w:sz="0" w:space="0" w:color="auto"/>
            <w:left w:val="none" w:sz="0" w:space="0" w:color="auto"/>
            <w:bottom w:val="none" w:sz="0" w:space="0" w:color="auto"/>
            <w:right w:val="none" w:sz="0" w:space="0" w:color="auto"/>
          </w:divBdr>
        </w:div>
        <w:div w:id="1697926729">
          <w:marLeft w:val="0"/>
          <w:marRight w:val="0"/>
          <w:marTop w:val="0"/>
          <w:marBottom w:val="0"/>
          <w:divBdr>
            <w:top w:val="none" w:sz="0" w:space="0" w:color="auto"/>
            <w:left w:val="none" w:sz="0" w:space="0" w:color="auto"/>
            <w:bottom w:val="none" w:sz="0" w:space="0" w:color="auto"/>
            <w:right w:val="none" w:sz="0" w:space="0" w:color="auto"/>
          </w:divBdr>
          <w:divsChild>
            <w:div w:id="1320576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627</Words>
  <Characters>3580</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Борисова Яна Михайловна</cp:lastModifiedBy>
  <cp:revision>4</cp:revision>
  <dcterms:created xsi:type="dcterms:W3CDTF">2021-05-26T06:43:00Z</dcterms:created>
  <dcterms:modified xsi:type="dcterms:W3CDTF">2021-05-27T10:01:00Z</dcterms:modified>
</cp:coreProperties>
</file>