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F12" w:rsidRDefault="00796F12" w:rsidP="00796F12">
      <w:pPr>
        <w:autoSpaceDE w:val="0"/>
        <w:autoSpaceDN w:val="0"/>
        <w:adjustRightInd w:val="0"/>
        <w:rPr>
          <w:rFonts w:ascii="Arial" w:hAnsi="Arial" w:cs="Arial"/>
          <w:sz w:val="36"/>
          <w:szCs w:val="36"/>
        </w:rPr>
      </w:pPr>
      <w:r>
        <w:rPr>
          <w:rFonts w:ascii="Arial" w:hAnsi="Arial" w:cs="Arial"/>
          <w:b/>
          <w:bCs/>
          <w:sz w:val="36"/>
          <w:szCs w:val="36"/>
        </w:rPr>
        <w:t>В каких случаях земельный участок или другую недвижимость можно продать по цене ниже кадастровой стоимости</w:t>
      </w:r>
    </w:p>
    <w:p w:rsidR="00796F12" w:rsidRDefault="00796F12" w:rsidP="00796F12">
      <w:pPr>
        <w:autoSpaceDE w:val="0"/>
        <w:autoSpaceDN w:val="0"/>
        <w:adjustRightInd w:val="0"/>
        <w:spacing w:before="200"/>
        <w:jc w:val="both"/>
        <w:rPr>
          <w:rFonts w:ascii="Arial" w:hAnsi="Arial" w:cs="Arial"/>
          <w:sz w:val="20"/>
          <w:szCs w:val="20"/>
        </w:rPr>
      </w:pPr>
      <w:r>
        <w:rPr>
          <w:rFonts w:ascii="Arial" w:hAnsi="Arial" w:cs="Arial"/>
          <w:sz w:val="20"/>
          <w:szCs w:val="20"/>
        </w:rPr>
        <w:t>Вы можете это сделать во всех случаях, кроме тех, когда:</w:t>
      </w:r>
    </w:p>
    <w:p w:rsidR="00796F12" w:rsidRDefault="00796F12" w:rsidP="00796F12">
      <w:pPr>
        <w:numPr>
          <w:ilvl w:val="0"/>
          <w:numId w:val="1"/>
        </w:numPr>
        <w:tabs>
          <w:tab w:val="left" w:pos="540"/>
        </w:tabs>
        <w:autoSpaceDE w:val="0"/>
        <w:autoSpaceDN w:val="0"/>
        <w:adjustRightInd w:val="0"/>
        <w:spacing w:before="200"/>
        <w:jc w:val="both"/>
        <w:rPr>
          <w:rFonts w:ascii="Arial" w:hAnsi="Arial" w:cs="Arial"/>
          <w:sz w:val="20"/>
          <w:szCs w:val="20"/>
        </w:rPr>
      </w:pPr>
      <w:r>
        <w:rPr>
          <w:rFonts w:ascii="Arial" w:hAnsi="Arial" w:cs="Arial"/>
          <w:sz w:val="20"/>
          <w:szCs w:val="20"/>
        </w:rPr>
        <w:t>цена недвижимости формируется исходя из ее кадастровой стоимости в силу закона.</w:t>
      </w:r>
    </w:p>
    <w:p w:rsidR="00796F12" w:rsidRDefault="00796F12" w:rsidP="00796F12">
      <w:pPr>
        <w:autoSpaceDE w:val="0"/>
        <w:autoSpaceDN w:val="0"/>
        <w:adjustRightInd w:val="0"/>
        <w:spacing w:before="200"/>
        <w:ind w:left="540"/>
        <w:jc w:val="both"/>
        <w:rPr>
          <w:rFonts w:ascii="Arial" w:hAnsi="Arial" w:cs="Arial"/>
          <w:sz w:val="20"/>
          <w:szCs w:val="20"/>
        </w:rPr>
      </w:pPr>
      <w:r>
        <w:rPr>
          <w:rFonts w:ascii="Arial" w:hAnsi="Arial" w:cs="Arial"/>
          <w:sz w:val="20"/>
          <w:szCs w:val="20"/>
        </w:rPr>
        <w:t>Например, на аукционе по продаже земельного участка, находящегося в государственной или муниципальной собственности, начальная цена строго определена. Это должна быть рыночная или кадастровая стоимость, если результаты государственной кадастровой оценки утверждены не ранее чем за пять лет до даты принятия решения о проведен</w:t>
      </w:r>
      <w:proofErr w:type="gramStart"/>
      <w:r>
        <w:rPr>
          <w:rFonts w:ascii="Arial" w:hAnsi="Arial" w:cs="Arial"/>
          <w:sz w:val="20"/>
          <w:szCs w:val="20"/>
        </w:rPr>
        <w:t>ии ау</w:t>
      </w:r>
      <w:proofErr w:type="gramEnd"/>
      <w:r>
        <w:rPr>
          <w:rFonts w:ascii="Arial" w:hAnsi="Arial" w:cs="Arial"/>
          <w:sz w:val="20"/>
          <w:szCs w:val="20"/>
        </w:rPr>
        <w:t>кциона (</w:t>
      </w:r>
      <w:hyperlink r:id="rId6" w:history="1">
        <w:r>
          <w:rPr>
            <w:rFonts w:ascii="Arial" w:hAnsi="Arial" w:cs="Arial"/>
            <w:color w:val="0000FF"/>
            <w:sz w:val="20"/>
            <w:szCs w:val="20"/>
          </w:rPr>
          <w:t>п. 12 ст. 39.11</w:t>
        </w:r>
      </w:hyperlink>
      <w:r>
        <w:rPr>
          <w:rFonts w:ascii="Arial" w:hAnsi="Arial" w:cs="Arial"/>
          <w:sz w:val="20"/>
          <w:szCs w:val="20"/>
        </w:rPr>
        <w:t xml:space="preserve"> ЗК РФ).</w:t>
      </w:r>
    </w:p>
    <w:p w:rsidR="00796F12" w:rsidRDefault="00796F12" w:rsidP="00796F12">
      <w:pPr>
        <w:autoSpaceDE w:val="0"/>
        <w:autoSpaceDN w:val="0"/>
        <w:adjustRightInd w:val="0"/>
        <w:spacing w:before="200"/>
        <w:ind w:left="540"/>
        <w:jc w:val="both"/>
        <w:rPr>
          <w:rFonts w:ascii="Arial" w:hAnsi="Arial" w:cs="Arial"/>
          <w:sz w:val="20"/>
          <w:szCs w:val="20"/>
        </w:rPr>
      </w:pPr>
      <w:r>
        <w:rPr>
          <w:rFonts w:ascii="Arial" w:hAnsi="Arial" w:cs="Arial"/>
          <w:sz w:val="20"/>
          <w:szCs w:val="20"/>
        </w:rPr>
        <w:t>Если установить иную начальную цену, то торги будут проведены с нарушением правил и могут быть признаны судом недействительными. Договор, заключенный на таких торгах, также будет недействительным (</w:t>
      </w:r>
      <w:hyperlink r:id="rId7" w:history="1">
        <w:r>
          <w:rPr>
            <w:rFonts w:ascii="Arial" w:hAnsi="Arial" w:cs="Arial"/>
            <w:color w:val="0000FF"/>
            <w:sz w:val="20"/>
            <w:szCs w:val="20"/>
          </w:rPr>
          <w:t>п. п. 1</w:t>
        </w:r>
      </w:hyperlink>
      <w:r>
        <w:rPr>
          <w:rFonts w:ascii="Arial" w:hAnsi="Arial" w:cs="Arial"/>
          <w:sz w:val="20"/>
          <w:szCs w:val="20"/>
        </w:rPr>
        <w:t xml:space="preserve">, </w:t>
      </w:r>
      <w:hyperlink r:id="rId8" w:history="1">
        <w:r>
          <w:rPr>
            <w:rFonts w:ascii="Arial" w:hAnsi="Arial" w:cs="Arial"/>
            <w:color w:val="0000FF"/>
            <w:sz w:val="20"/>
            <w:szCs w:val="20"/>
          </w:rPr>
          <w:t>2 ст. 449</w:t>
        </w:r>
      </w:hyperlink>
      <w:r>
        <w:rPr>
          <w:rFonts w:ascii="Arial" w:hAnsi="Arial" w:cs="Arial"/>
          <w:sz w:val="20"/>
          <w:szCs w:val="20"/>
        </w:rPr>
        <w:t xml:space="preserve"> ГК РФ);</w:t>
      </w:r>
    </w:p>
    <w:p w:rsidR="00796F12" w:rsidRDefault="00796F12" w:rsidP="00796F12">
      <w:pPr>
        <w:numPr>
          <w:ilvl w:val="0"/>
          <w:numId w:val="1"/>
        </w:numPr>
        <w:tabs>
          <w:tab w:val="left" w:pos="540"/>
        </w:tabs>
        <w:autoSpaceDE w:val="0"/>
        <w:autoSpaceDN w:val="0"/>
        <w:adjustRightInd w:val="0"/>
        <w:spacing w:before="200"/>
        <w:jc w:val="both"/>
        <w:rPr>
          <w:rFonts w:ascii="Arial" w:hAnsi="Arial" w:cs="Arial"/>
          <w:sz w:val="20"/>
          <w:szCs w:val="20"/>
        </w:rPr>
      </w:pPr>
      <w:r>
        <w:rPr>
          <w:rFonts w:ascii="Arial" w:hAnsi="Arial" w:cs="Arial"/>
          <w:sz w:val="20"/>
          <w:szCs w:val="20"/>
        </w:rPr>
        <w:t>установление цены ниже кадастровой стоимости нарушает интересы третьих лиц.</w:t>
      </w:r>
    </w:p>
    <w:p w:rsidR="00796F12" w:rsidRDefault="00796F12" w:rsidP="00796F12">
      <w:pPr>
        <w:autoSpaceDE w:val="0"/>
        <w:autoSpaceDN w:val="0"/>
        <w:adjustRightInd w:val="0"/>
        <w:spacing w:before="200"/>
        <w:jc w:val="both"/>
        <w:rPr>
          <w:rFonts w:ascii="Arial" w:hAnsi="Arial" w:cs="Arial"/>
          <w:sz w:val="20"/>
          <w:szCs w:val="20"/>
        </w:rPr>
      </w:pPr>
      <w:r>
        <w:rPr>
          <w:rFonts w:ascii="Arial" w:hAnsi="Arial" w:cs="Arial"/>
          <w:sz w:val="20"/>
          <w:szCs w:val="20"/>
        </w:rPr>
        <w:t>Это могут быть, в частности:</w:t>
      </w:r>
    </w:p>
    <w:p w:rsidR="00796F12" w:rsidRDefault="00796F12" w:rsidP="00796F12">
      <w:pPr>
        <w:numPr>
          <w:ilvl w:val="0"/>
          <w:numId w:val="2"/>
        </w:numPr>
        <w:tabs>
          <w:tab w:val="left" w:pos="540"/>
        </w:tabs>
        <w:autoSpaceDE w:val="0"/>
        <w:autoSpaceDN w:val="0"/>
        <w:adjustRightInd w:val="0"/>
        <w:spacing w:before="200"/>
        <w:jc w:val="both"/>
        <w:rPr>
          <w:rFonts w:ascii="Arial" w:hAnsi="Arial" w:cs="Arial"/>
          <w:sz w:val="20"/>
          <w:szCs w:val="20"/>
        </w:rPr>
      </w:pPr>
      <w:r>
        <w:rPr>
          <w:rFonts w:ascii="Arial" w:hAnsi="Arial" w:cs="Arial"/>
          <w:sz w:val="20"/>
          <w:szCs w:val="20"/>
        </w:rPr>
        <w:t>участники хозяйственного общества, когда продажа недвижимости - это крупная сделка или сделка с заинтересованностью (</w:t>
      </w:r>
      <w:hyperlink r:id="rId9" w:history="1">
        <w:r>
          <w:rPr>
            <w:rFonts w:ascii="Arial" w:hAnsi="Arial" w:cs="Arial"/>
            <w:color w:val="0000FF"/>
            <w:sz w:val="20"/>
            <w:szCs w:val="20"/>
          </w:rPr>
          <w:t>п. 6 ст. 45</w:t>
        </w:r>
      </w:hyperlink>
      <w:r>
        <w:rPr>
          <w:rFonts w:ascii="Arial" w:hAnsi="Arial" w:cs="Arial"/>
          <w:sz w:val="20"/>
          <w:szCs w:val="20"/>
        </w:rPr>
        <w:t xml:space="preserve">, </w:t>
      </w:r>
      <w:hyperlink r:id="rId10" w:history="1">
        <w:r>
          <w:rPr>
            <w:rFonts w:ascii="Arial" w:hAnsi="Arial" w:cs="Arial"/>
            <w:color w:val="0000FF"/>
            <w:sz w:val="20"/>
            <w:szCs w:val="20"/>
          </w:rPr>
          <w:t>п. 4 ст. 46</w:t>
        </w:r>
      </w:hyperlink>
      <w:r>
        <w:rPr>
          <w:rFonts w:ascii="Arial" w:hAnsi="Arial" w:cs="Arial"/>
          <w:sz w:val="20"/>
          <w:szCs w:val="20"/>
        </w:rPr>
        <w:t xml:space="preserve"> Закона об ООО, </w:t>
      </w:r>
      <w:hyperlink r:id="rId11" w:history="1">
        <w:r>
          <w:rPr>
            <w:rFonts w:ascii="Arial" w:hAnsi="Arial" w:cs="Arial"/>
            <w:color w:val="0000FF"/>
            <w:sz w:val="20"/>
            <w:szCs w:val="20"/>
          </w:rPr>
          <w:t>п. 6 ст. 79</w:t>
        </w:r>
      </w:hyperlink>
      <w:r>
        <w:rPr>
          <w:rFonts w:ascii="Arial" w:hAnsi="Arial" w:cs="Arial"/>
          <w:sz w:val="20"/>
          <w:szCs w:val="20"/>
        </w:rPr>
        <w:t xml:space="preserve">, </w:t>
      </w:r>
      <w:hyperlink r:id="rId12" w:history="1">
        <w:r>
          <w:rPr>
            <w:rFonts w:ascii="Arial" w:hAnsi="Arial" w:cs="Arial"/>
            <w:color w:val="0000FF"/>
            <w:sz w:val="20"/>
            <w:szCs w:val="20"/>
          </w:rPr>
          <w:t>п. 1 ст. 84</w:t>
        </w:r>
      </w:hyperlink>
      <w:r>
        <w:rPr>
          <w:rFonts w:ascii="Arial" w:hAnsi="Arial" w:cs="Arial"/>
          <w:sz w:val="20"/>
          <w:szCs w:val="20"/>
        </w:rPr>
        <w:t xml:space="preserve"> Закона об АО). Например, ООО продало здание по заниженной цене значительно меньше кадастровой стоимости, чтобы она не превышала 25 процентов балансовой стоимости активов общества. </w:t>
      </w:r>
      <w:proofErr w:type="gramStart"/>
      <w:r>
        <w:rPr>
          <w:rFonts w:ascii="Arial" w:hAnsi="Arial" w:cs="Arial"/>
          <w:sz w:val="20"/>
          <w:szCs w:val="20"/>
        </w:rPr>
        <w:t>В таком случае участник ООО может потребовать признать данную сделку недействительной как крупную и совершенную без необходимого согласия;</w:t>
      </w:r>
      <w:proofErr w:type="gramEnd"/>
    </w:p>
    <w:p w:rsidR="00796F12" w:rsidRDefault="00796F12" w:rsidP="00796F12">
      <w:pPr>
        <w:numPr>
          <w:ilvl w:val="0"/>
          <w:numId w:val="2"/>
        </w:numPr>
        <w:tabs>
          <w:tab w:val="left" w:pos="540"/>
        </w:tabs>
        <w:autoSpaceDE w:val="0"/>
        <w:autoSpaceDN w:val="0"/>
        <w:adjustRightInd w:val="0"/>
        <w:spacing w:before="200"/>
        <w:jc w:val="both"/>
        <w:rPr>
          <w:rFonts w:ascii="Arial" w:hAnsi="Arial" w:cs="Arial"/>
          <w:sz w:val="20"/>
          <w:szCs w:val="20"/>
        </w:rPr>
      </w:pPr>
      <w:r>
        <w:rPr>
          <w:rFonts w:ascii="Arial" w:hAnsi="Arial" w:cs="Arial"/>
          <w:sz w:val="20"/>
          <w:szCs w:val="20"/>
        </w:rPr>
        <w:t xml:space="preserve">кредиторы продавца, если сделка совершена в преддверии его банкротства. Так, если, например, земельный участок </w:t>
      </w:r>
      <w:proofErr w:type="gramStart"/>
      <w:r>
        <w:rPr>
          <w:rFonts w:ascii="Arial" w:hAnsi="Arial" w:cs="Arial"/>
          <w:sz w:val="20"/>
          <w:szCs w:val="20"/>
        </w:rPr>
        <w:t>был продан в течение одного года до принятия заявления о признании собственника банкротом и при этом цена его продажи оказалась</w:t>
      </w:r>
      <w:proofErr w:type="gramEnd"/>
      <w:r>
        <w:rPr>
          <w:rFonts w:ascii="Arial" w:hAnsi="Arial" w:cs="Arial"/>
          <w:sz w:val="20"/>
          <w:szCs w:val="20"/>
        </w:rPr>
        <w:t xml:space="preserve"> существенно ниже кадастровой стоимости, это может свидетельствовать о том, что причинен вред имущественным правам кредиторов. Такая сделка может быть признана недействительной (</w:t>
      </w:r>
      <w:hyperlink r:id="rId13" w:history="1">
        <w:r>
          <w:rPr>
            <w:rFonts w:ascii="Arial" w:hAnsi="Arial" w:cs="Arial"/>
            <w:color w:val="0000FF"/>
            <w:sz w:val="20"/>
            <w:szCs w:val="20"/>
          </w:rPr>
          <w:t>ст. 61.2</w:t>
        </w:r>
      </w:hyperlink>
      <w:r>
        <w:rPr>
          <w:rFonts w:ascii="Arial" w:hAnsi="Arial" w:cs="Arial"/>
          <w:sz w:val="20"/>
          <w:szCs w:val="20"/>
        </w:rPr>
        <w:t xml:space="preserve"> Закона о банкротстве).</w:t>
      </w:r>
    </w:p>
    <w:p w:rsidR="00303A35" w:rsidRDefault="00303A35">
      <w:bookmarkStart w:id="0" w:name="_GoBack"/>
      <w:bookmarkEnd w:id="0"/>
    </w:p>
    <w:sectPr w:rsidR="00303A35" w:rsidSect="00723A7C">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decimal"/>
      <w:lvlText w:val="%1)"/>
      <w:lvlJc w:val="left"/>
      <w:pPr>
        <w:tabs>
          <w:tab w:val="num" w:pos="540"/>
        </w:tabs>
        <w:ind w:left="540" w:hanging="300"/>
      </w:pPr>
    </w:lvl>
  </w:abstractNum>
  <w:abstractNum w:abstractNumId="1">
    <w:nsid w:val="00000002"/>
    <w:multiLevelType w:val="singleLevel"/>
    <w:tmpl w:val="00000000"/>
    <w:lvl w:ilvl="0">
      <w:start w:val="1"/>
      <w:numFmt w:val="bullet"/>
      <w:lvlText w:val=""/>
      <w:lvlJc w:val="left"/>
      <w:pPr>
        <w:tabs>
          <w:tab w:val="num" w:pos="540"/>
        </w:tabs>
        <w:ind w:left="540" w:hanging="227"/>
      </w:pPr>
      <w:rPr>
        <w:rFonts w:ascii="Symbol" w:hAnsi="Symbol" w:cs="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F12"/>
    <w:rsid w:val="00303A35"/>
    <w:rsid w:val="00796F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0AC356F39C1E28F12FBB9C6A074424648A7DBB762A7C8ACB3EB0FBD664255A4D71727C0407EC91D1341D3037F6CE7A04E13BDF3470A46H7f8I" TargetMode="External"/><Relationship Id="rId13" Type="http://schemas.openxmlformats.org/officeDocument/2006/relationships/hyperlink" Target="consultantplus://offline/ref=D0AC356F39C1E28F12FBB9C6A074424648A7DABF62A3C8ACB3EB0FBD664255A4D71727C04476CA114C44C6122760E5BD5010A0EF450BH4fEI" TargetMode="External"/><Relationship Id="rId3" Type="http://schemas.microsoft.com/office/2007/relationships/stylesWithEffects" Target="stylesWithEffects.xml"/><Relationship Id="rId7" Type="http://schemas.openxmlformats.org/officeDocument/2006/relationships/hyperlink" Target="consultantplus://offline/ref=D0AC356F39C1E28F12FBB9C6A074424648A7DBB762A7C8ACB3EB0FBD664255A4D71727C0407EC91A1341D3037F6CE7A04E13BDF3470A46H7f8I" TargetMode="External"/><Relationship Id="rId12" Type="http://schemas.openxmlformats.org/officeDocument/2006/relationships/hyperlink" Target="consultantplus://offline/ref=D0AC356F39C1E28F12FBB9C6A074424648A6DFB662A7C8ACB3EB0FBD664255A4D71727C74475C04E4951D74A2B62F8A3530DBCED44H0f3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D0AC356F39C1E28F12FBB9C6A074424648A7DBB768A5C8ACB3EB0FBD664255A4D71727C74472C04E4951D74A2B62F8A3530DBCED44H0f3I" TargetMode="External"/><Relationship Id="rId11" Type="http://schemas.openxmlformats.org/officeDocument/2006/relationships/hyperlink" Target="consultantplus://offline/ref=D0AC356F39C1E28F12FBB9C6A074424648A6DFB662A7C8ACB3EB0FBD664255A4D71727C44875C04E4951D74A2B62F8A3530DBCED44H0f3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0AC356F39C1E28F12FBB9C6A074424649AEDDBA66A3C8ACB3EB0FBD664255A4D71727C54470C04E4951D74A2B62F8A3530DBCED44H0f3I" TargetMode="External"/><Relationship Id="rId4" Type="http://schemas.openxmlformats.org/officeDocument/2006/relationships/settings" Target="settings.xml"/><Relationship Id="rId9" Type="http://schemas.openxmlformats.org/officeDocument/2006/relationships/hyperlink" Target="consultantplus://offline/ref=D0AC356F39C1E28F12FBB9C6A074424649AEDDBA66A3C8ACB3EB0FBD664255A4D71727C54176C04E4951D74A2B62F8A3530DBCED44H0f3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467</Words>
  <Characters>2668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11</cp:lastModifiedBy>
  <cp:revision>1</cp:revision>
  <dcterms:created xsi:type="dcterms:W3CDTF">2019-03-13T08:31:00Z</dcterms:created>
  <dcterms:modified xsi:type="dcterms:W3CDTF">2019-03-13T08:31:00Z</dcterms:modified>
</cp:coreProperties>
</file>